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77DA" w14:textId="77777777" w:rsidR="001A519D" w:rsidRDefault="001A519D" w:rsidP="00632490">
      <w:pPr>
        <w:tabs>
          <w:tab w:val="left" w:pos="1134"/>
          <w:tab w:val="left" w:pos="6536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EDITAL</w:t>
      </w:r>
    </w:p>
    <w:p w14:paraId="4D93AE75" w14:textId="6C057980" w:rsidR="00632490" w:rsidRPr="00032E22" w:rsidRDefault="001A519D" w:rsidP="001A519D">
      <w:pPr>
        <w:tabs>
          <w:tab w:val="left" w:pos="1134"/>
          <w:tab w:val="left" w:pos="6536"/>
        </w:tabs>
        <w:spacing w:line="360" w:lineRule="auto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>INTENÇÃO DE REGISTRO DE PREÇOS Nº 001/2025</w:t>
      </w:r>
      <w:r w:rsidR="00632490" w:rsidRPr="00032E22">
        <w:rPr>
          <w:rFonts w:ascii="Arial" w:hAnsi="Arial" w:cs="Arial"/>
          <w:sz w:val="26"/>
          <w:szCs w:val="26"/>
          <w:u w:val="single"/>
        </w:rPr>
        <w:t xml:space="preserve"> </w:t>
      </w:r>
    </w:p>
    <w:p w14:paraId="3598A202" w14:textId="77777777" w:rsidR="00632490" w:rsidRPr="00032E22" w:rsidRDefault="00632490" w:rsidP="00632490">
      <w:pPr>
        <w:tabs>
          <w:tab w:val="left" w:pos="1701"/>
          <w:tab w:val="left" w:pos="653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2833EE0" w14:textId="2F404811" w:rsidR="003921B4" w:rsidRDefault="001A519D" w:rsidP="00632490">
      <w:pPr>
        <w:tabs>
          <w:tab w:val="left" w:pos="1701"/>
          <w:tab w:val="left" w:pos="653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Município de Campo Azul, Estado de Minas Gerais, pessoa jurídica de direito público, com sede administrativa na Av. João Antônio de Almeida, nº 518, Centro, Município de Campo Azul, </w:t>
      </w:r>
      <w:proofErr w:type="spellStart"/>
      <w:r>
        <w:rPr>
          <w:rFonts w:ascii="Arial" w:hAnsi="Arial" w:cs="Arial"/>
          <w:sz w:val="26"/>
          <w:szCs w:val="26"/>
        </w:rPr>
        <w:t>cep</w:t>
      </w:r>
      <w:proofErr w:type="spellEnd"/>
      <w:r>
        <w:rPr>
          <w:rFonts w:ascii="Arial" w:hAnsi="Arial" w:cs="Arial"/>
          <w:sz w:val="26"/>
          <w:szCs w:val="26"/>
        </w:rPr>
        <w:t xml:space="preserve"> 39.338-000, inscrito perante a Secretaria da Receita Federal sob CNPJ 01.612.551/0001-79, vem a público para </w:t>
      </w:r>
      <w:r w:rsidRPr="00B676B1">
        <w:rPr>
          <w:rFonts w:ascii="Arial" w:hAnsi="Arial" w:cs="Arial"/>
          <w:b/>
          <w:sz w:val="26"/>
          <w:szCs w:val="26"/>
        </w:rPr>
        <w:t>CONVIDAR</w:t>
      </w:r>
      <w:r>
        <w:rPr>
          <w:rFonts w:ascii="Arial" w:hAnsi="Arial" w:cs="Arial"/>
          <w:sz w:val="26"/>
          <w:szCs w:val="26"/>
        </w:rPr>
        <w:t xml:space="preserve">  órgãos e entidades de direito público interessados a participar de licitação, em Sistema de Registro de Preços (SRP), sob as disposições da Lei Federal nº 14.133/2021, tendo por objeto a </w:t>
      </w:r>
      <w:r w:rsidRPr="00B676B1">
        <w:rPr>
          <w:rFonts w:ascii="Arial" w:hAnsi="Arial" w:cs="Arial"/>
          <w:b/>
          <w:sz w:val="26"/>
          <w:szCs w:val="26"/>
        </w:rPr>
        <w:t>LOCAÇÃO EQUIPAMENTOS DE IMAGEM PARA DIAGNÓSTICO MÉDICO, ULTRASSOM E RAIOS-X</w:t>
      </w:r>
      <w:r>
        <w:rPr>
          <w:rFonts w:ascii="Arial" w:hAnsi="Arial" w:cs="Arial"/>
          <w:sz w:val="26"/>
          <w:szCs w:val="26"/>
        </w:rPr>
        <w:t>, em conformidade com a especificação pormenorizada constante nas especificações técnicas constantes</w:t>
      </w:r>
      <w:r w:rsidR="00B676B1">
        <w:rPr>
          <w:rFonts w:ascii="Arial" w:hAnsi="Arial" w:cs="Arial"/>
          <w:sz w:val="26"/>
          <w:szCs w:val="26"/>
        </w:rPr>
        <w:t xml:space="preserve"> nos Anexos I e II deste Edital, com os seguintes quantitativos e valores respectivos 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1"/>
        <w:gridCol w:w="2371"/>
        <w:gridCol w:w="1290"/>
        <w:gridCol w:w="1290"/>
        <w:gridCol w:w="1485"/>
        <w:gridCol w:w="1509"/>
      </w:tblGrid>
      <w:tr w:rsidR="00DE085B" w:rsidRPr="001A691D" w14:paraId="3890AA08" w14:textId="77777777" w:rsidTr="00DE085B">
        <w:tc>
          <w:tcPr>
            <w:tcW w:w="711" w:type="dxa"/>
          </w:tcPr>
          <w:p w14:paraId="57A6B30B" w14:textId="77777777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Item </w:t>
            </w:r>
          </w:p>
        </w:tc>
        <w:tc>
          <w:tcPr>
            <w:tcW w:w="2371" w:type="dxa"/>
          </w:tcPr>
          <w:p w14:paraId="312F8556" w14:textId="77777777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Descrição </w:t>
            </w:r>
          </w:p>
        </w:tc>
        <w:tc>
          <w:tcPr>
            <w:tcW w:w="1290" w:type="dxa"/>
          </w:tcPr>
          <w:p w14:paraId="071B1401" w14:textId="133A771E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1128" w:type="dxa"/>
          </w:tcPr>
          <w:p w14:paraId="3EE7FB27" w14:textId="005630E4" w:rsidR="00DE085B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</w:t>
            </w:r>
          </w:p>
        </w:tc>
        <w:tc>
          <w:tcPr>
            <w:tcW w:w="1485" w:type="dxa"/>
          </w:tcPr>
          <w:p w14:paraId="34DB2316" w14:textId="1D46C45E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Valor </w:t>
            </w:r>
            <w:proofErr w:type="spellStart"/>
            <w:r>
              <w:rPr>
                <w:sz w:val="18"/>
                <w:szCs w:val="18"/>
              </w:rPr>
              <w:t>unit</w:t>
            </w:r>
            <w:proofErr w:type="spellEnd"/>
            <w:r>
              <w:rPr>
                <w:sz w:val="18"/>
                <w:szCs w:val="18"/>
              </w:rPr>
              <w:t>. (R$)</w:t>
            </w:r>
          </w:p>
        </w:tc>
        <w:tc>
          <w:tcPr>
            <w:tcW w:w="1509" w:type="dxa"/>
          </w:tcPr>
          <w:p w14:paraId="55DDC9B9" w14:textId="77777777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 total (R$)</w:t>
            </w:r>
          </w:p>
        </w:tc>
      </w:tr>
      <w:tr w:rsidR="00DE085B" w14:paraId="1F2BC67D" w14:textId="77777777" w:rsidTr="00DE085B">
        <w:tc>
          <w:tcPr>
            <w:tcW w:w="711" w:type="dxa"/>
          </w:tcPr>
          <w:p w14:paraId="20D7B6FF" w14:textId="77777777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 w:rsidRPr="001A691D">
              <w:rPr>
                <w:sz w:val="18"/>
                <w:szCs w:val="18"/>
              </w:rPr>
              <w:t>01</w:t>
            </w:r>
          </w:p>
        </w:tc>
        <w:tc>
          <w:tcPr>
            <w:tcW w:w="2371" w:type="dxa"/>
          </w:tcPr>
          <w:p w14:paraId="0E94100F" w14:textId="77777777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Ultrassom digital descrição Anexo I</w:t>
            </w:r>
          </w:p>
        </w:tc>
        <w:tc>
          <w:tcPr>
            <w:tcW w:w="1290" w:type="dxa"/>
          </w:tcPr>
          <w:p w14:paraId="6138C47F" w14:textId="24DB6B7B" w:rsidR="00DE085B" w:rsidRPr="001A691D" w:rsidRDefault="00DE085B" w:rsidP="00DE085B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mês</w:t>
            </w:r>
          </w:p>
        </w:tc>
        <w:tc>
          <w:tcPr>
            <w:tcW w:w="1128" w:type="dxa"/>
          </w:tcPr>
          <w:p w14:paraId="2386291C" w14:textId="0030D517" w:rsidR="00DE085B" w:rsidRPr="000F2D31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12</w:t>
            </w:r>
          </w:p>
        </w:tc>
        <w:tc>
          <w:tcPr>
            <w:tcW w:w="1485" w:type="dxa"/>
          </w:tcPr>
          <w:p w14:paraId="59D72D0D" w14:textId="6FBA112E" w:rsidR="00DE085B" w:rsidRPr="000F2D31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F2D31">
              <w:rPr>
                <w:sz w:val="18"/>
                <w:szCs w:val="18"/>
              </w:rPr>
              <w:t>17.215,00</w:t>
            </w:r>
          </w:p>
        </w:tc>
        <w:tc>
          <w:tcPr>
            <w:tcW w:w="1509" w:type="dxa"/>
          </w:tcPr>
          <w:p w14:paraId="2EE841A9" w14:textId="77777777" w:rsidR="00DE085B" w:rsidRPr="000F2D31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206.580,00</w:t>
            </w:r>
          </w:p>
        </w:tc>
      </w:tr>
      <w:tr w:rsidR="00DE085B" w14:paraId="25D56797" w14:textId="77777777" w:rsidTr="00DE085B">
        <w:tc>
          <w:tcPr>
            <w:tcW w:w="711" w:type="dxa"/>
          </w:tcPr>
          <w:p w14:paraId="6D6A77EF" w14:textId="77777777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 w:rsidRPr="001A691D">
              <w:rPr>
                <w:sz w:val="18"/>
                <w:szCs w:val="18"/>
              </w:rPr>
              <w:t>01</w:t>
            </w:r>
          </w:p>
        </w:tc>
        <w:tc>
          <w:tcPr>
            <w:tcW w:w="2371" w:type="dxa"/>
          </w:tcPr>
          <w:p w14:paraId="2887F374" w14:textId="77777777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Raios-X descrição Anexo II</w:t>
            </w:r>
          </w:p>
        </w:tc>
        <w:tc>
          <w:tcPr>
            <w:tcW w:w="1290" w:type="dxa"/>
          </w:tcPr>
          <w:p w14:paraId="029364B6" w14:textId="76C60BCC" w:rsidR="00DE085B" w:rsidRPr="001A691D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mês</w:t>
            </w:r>
          </w:p>
        </w:tc>
        <w:tc>
          <w:tcPr>
            <w:tcW w:w="1128" w:type="dxa"/>
          </w:tcPr>
          <w:p w14:paraId="7C09FB25" w14:textId="2B5E79FD" w:rsidR="00DE085B" w:rsidRPr="000F2D31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12</w:t>
            </w:r>
          </w:p>
        </w:tc>
        <w:tc>
          <w:tcPr>
            <w:tcW w:w="1485" w:type="dxa"/>
          </w:tcPr>
          <w:p w14:paraId="6B8B5D1A" w14:textId="699D965B" w:rsidR="00DE085B" w:rsidRPr="000F2D31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F2D31">
              <w:rPr>
                <w:sz w:val="18"/>
                <w:szCs w:val="18"/>
              </w:rPr>
              <w:t>25.867,00</w:t>
            </w:r>
          </w:p>
        </w:tc>
        <w:tc>
          <w:tcPr>
            <w:tcW w:w="1509" w:type="dxa"/>
          </w:tcPr>
          <w:p w14:paraId="5C7F971F" w14:textId="77777777" w:rsidR="00DE085B" w:rsidRPr="000F2D31" w:rsidRDefault="00DE085B" w:rsidP="006B37FF">
            <w:pPr>
              <w:widowControl w:val="0"/>
              <w:tabs>
                <w:tab w:val="left" w:pos="1999"/>
              </w:tabs>
              <w:autoSpaceDE w:val="0"/>
              <w:autoSpaceDN w:val="0"/>
              <w:spacing w:before="239" w:after="0"/>
              <w:ind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310.404,00</w:t>
            </w:r>
          </w:p>
        </w:tc>
      </w:tr>
    </w:tbl>
    <w:p w14:paraId="06F3D1D8" w14:textId="77777777" w:rsidR="003C02DD" w:rsidRDefault="003C02DD" w:rsidP="003C02DD">
      <w:pPr>
        <w:widowControl w:val="0"/>
        <w:tabs>
          <w:tab w:val="left" w:pos="1999"/>
        </w:tabs>
        <w:autoSpaceDE w:val="0"/>
        <w:autoSpaceDN w:val="0"/>
        <w:spacing w:before="239" w:after="0"/>
        <w:ind w:right="143"/>
        <w:jc w:val="both"/>
        <w:rPr>
          <w:b/>
        </w:rPr>
      </w:pPr>
    </w:p>
    <w:p w14:paraId="7E366EF6" w14:textId="4224FD46" w:rsidR="00B676B1" w:rsidRDefault="003921B4" w:rsidP="00632490">
      <w:pPr>
        <w:tabs>
          <w:tab w:val="left" w:pos="1701"/>
          <w:tab w:val="left" w:pos="653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676B1">
        <w:rPr>
          <w:rFonts w:ascii="Arial" w:hAnsi="Arial" w:cs="Arial"/>
          <w:sz w:val="26"/>
          <w:szCs w:val="26"/>
        </w:rPr>
        <w:t>queles</w:t>
      </w:r>
      <w:r w:rsidR="00C17C63">
        <w:rPr>
          <w:rFonts w:ascii="Arial" w:hAnsi="Arial" w:cs="Arial"/>
          <w:sz w:val="26"/>
          <w:szCs w:val="26"/>
        </w:rPr>
        <w:t xml:space="preserve"> </w:t>
      </w:r>
      <w:r w:rsidR="00B676B1">
        <w:rPr>
          <w:rFonts w:ascii="Arial" w:hAnsi="Arial" w:cs="Arial"/>
          <w:sz w:val="26"/>
          <w:szCs w:val="26"/>
        </w:rPr>
        <w:t>órgãos e entidades de direito público, subordinados às disposições da Lei Federal nº 14.133/2021, interessados em integrar a futura Ata de Registro de Preços como participantes, pede-se a gentileza, com fundamento nas disposições da Lei Federal nº 14.133/2021 (artigo 86</w:t>
      </w:r>
      <w:r w:rsidR="007A0E7F">
        <w:rPr>
          <w:rFonts w:ascii="Arial" w:hAnsi="Arial" w:cs="Arial"/>
          <w:sz w:val="26"/>
          <w:szCs w:val="26"/>
        </w:rPr>
        <w:t xml:space="preserve">, § 3º, I) registrar na IRP sua intenção de participar do registro de preços, acompanhada das seguintes </w:t>
      </w:r>
      <w:r w:rsidR="00C17C63">
        <w:rPr>
          <w:rFonts w:ascii="Arial" w:hAnsi="Arial" w:cs="Arial"/>
          <w:sz w:val="26"/>
          <w:szCs w:val="26"/>
        </w:rPr>
        <w:t>informações:</w:t>
      </w:r>
    </w:p>
    <w:p w14:paraId="3A069C22" w14:textId="75775447" w:rsidR="00B676B1" w:rsidRDefault="00B676B1" w:rsidP="00632490">
      <w:pPr>
        <w:tabs>
          <w:tab w:val="left" w:pos="1701"/>
          <w:tab w:val="left" w:pos="653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DE92E83" w14:textId="50AEC59D" w:rsidR="007A0E7F" w:rsidRDefault="007A0E7F" w:rsidP="00632490">
      <w:pPr>
        <w:tabs>
          <w:tab w:val="left" w:pos="1701"/>
          <w:tab w:val="left" w:pos="653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a.</w:t>
      </w:r>
      <w:proofErr w:type="gramEnd"/>
      <w:r>
        <w:rPr>
          <w:rFonts w:ascii="Arial" w:hAnsi="Arial" w:cs="Arial"/>
          <w:sz w:val="26"/>
          <w:szCs w:val="26"/>
        </w:rPr>
        <w:t xml:space="preserve"> das especificações do(s) item(itens) deste Edital ou da Especificação Técnica dos Equipamentos ( Anexos I e II)</w:t>
      </w:r>
      <w:r w:rsidR="008F6D4C">
        <w:rPr>
          <w:rFonts w:ascii="Arial" w:hAnsi="Arial" w:cs="Arial"/>
          <w:sz w:val="26"/>
          <w:szCs w:val="26"/>
        </w:rPr>
        <w:t xml:space="preserve"> do qual pretende participar;</w:t>
      </w:r>
    </w:p>
    <w:p w14:paraId="5BE009DA" w14:textId="1396A6E6" w:rsidR="008F6D4C" w:rsidRDefault="008F6D4C" w:rsidP="00632490">
      <w:pPr>
        <w:tabs>
          <w:tab w:val="left" w:pos="1701"/>
          <w:tab w:val="left" w:pos="653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b.</w:t>
      </w:r>
      <w:proofErr w:type="gramEnd"/>
      <w:r>
        <w:rPr>
          <w:rFonts w:ascii="Arial" w:hAnsi="Arial" w:cs="Arial"/>
          <w:sz w:val="26"/>
          <w:szCs w:val="26"/>
        </w:rPr>
        <w:t xml:space="preserve"> estimativa de consumo ( quantidade a ser registrada ); e</w:t>
      </w:r>
    </w:p>
    <w:p w14:paraId="158D8852" w14:textId="1275C380" w:rsidR="008F6D4C" w:rsidRDefault="008F6D4C" w:rsidP="00632490">
      <w:pPr>
        <w:tabs>
          <w:tab w:val="left" w:pos="1701"/>
          <w:tab w:val="left" w:pos="653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c.</w:t>
      </w:r>
      <w:proofErr w:type="gramEnd"/>
      <w:r>
        <w:rPr>
          <w:rFonts w:ascii="Arial" w:hAnsi="Arial" w:cs="Arial"/>
          <w:sz w:val="26"/>
          <w:szCs w:val="26"/>
        </w:rPr>
        <w:t xml:space="preserve"> endereço e local de instalação do(s) equipamento(s);</w:t>
      </w:r>
    </w:p>
    <w:p w14:paraId="4AD9AF16" w14:textId="1C545FDD" w:rsidR="008F6D4C" w:rsidRDefault="008F6D4C" w:rsidP="00632490">
      <w:pPr>
        <w:tabs>
          <w:tab w:val="left" w:pos="1701"/>
          <w:tab w:val="left" w:pos="653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Oportunamente, esclarecemos o </w:t>
      </w:r>
      <w:proofErr w:type="gramStart"/>
      <w:r>
        <w:rPr>
          <w:rFonts w:ascii="Arial" w:hAnsi="Arial" w:cs="Arial"/>
          <w:sz w:val="26"/>
          <w:szCs w:val="26"/>
        </w:rPr>
        <w:t>seguinte :</w:t>
      </w:r>
      <w:proofErr w:type="gramEnd"/>
    </w:p>
    <w:p w14:paraId="48025F4D" w14:textId="78DC27F7" w:rsidR="008F6D4C" w:rsidRDefault="008F6D4C" w:rsidP="008F6D4C">
      <w:pPr>
        <w:tabs>
          <w:tab w:val="left" w:pos="1701"/>
          <w:tab w:val="left" w:pos="653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Atentar para a responsabilidade do órgão participante, constantes na Lei Federal nº 14.133/2021;</w:t>
      </w:r>
    </w:p>
    <w:p w14:paraId="4A7C5B66" w14:textId="67FF0A45" w:rsidR="003E5930" w:rsidRDefault="008F6D4C" w:rsidP="008F6D4C">
      <w:pPr>
        <w:tabs>
          <w:tab w:val="left" w:pos="1701"/>
          <w:tab w:val="left" w:pos="6536"/>
        </w:tabs>
        <w:spacing w:line="360" w:lineRule="auto"/>
        <w:jc w:val="both"/>
      </w:pPr>
      <w:r>
        <w:rPr>
          <w:rFonts w:ascii="Arial" w:hAnsi="Arial" w:cs="Arial"/>
          <w:sz w:val="26"/>
          <w:szCs w:val="26"/>
        </w:rPr>
        <w:t xml:space="preserve">2. O prazo limite para envio da manifestação é de </w:t>
      </w:r>
      <w:r w:rsidR="000A25DC">
        <w:rPr>
          <w:rFonts w:ascii="Arial" w:hAnsi="Arial" w:cs="Arial"/>
          <w:sz w:val="26"/>
          <w:szCs w:val="26"/>
        </w:rPr>
        <w:t xml:space="preserve">08 (oito) dias úteis através </w:t>
      </w:r>
      <w:r w:rsidR="00C17C63">
        <w:rPr>
          <w:rFonts w:ascii="Arial" w:hAnsi="Arial" w:cs="Arial"/>
          <w:sz w:val="26"/>
          <w:szCs w:val="26"/>
        </w:rPr>
        <w:t>do e-mail:</w:t>
      </w:r>
      <w:r w:rsidR="00C17C63">
        <w:rPr>
          <w:sz w:val="24"/>
          <w:szCs w:val="24"/>
        </w:rPr>
        <w:t xml:space="preserve"> </w:t>
      </w:r>
      <w:bookmarkStart w:id="0" w:name="_GoBack"/>
      <w:bookmarkEnd w:id="0"/>
      <w:r w:rsidR="00C17C63">
        <w:rPr>
          <w:sz w:val="24"/>
          <w:szCs w:val="24"/>
        </w:rPr>
        <w:t>licitacao@campoazul.mg.gov.br</w:t>
      </w:r>
      <w:r w:rsidR="00C17C63">
        <w:rPr>
          <w:sz w:val="24"/>
          <w:szCs w:val="24"/>
        </w:rPr>
        <w:t>.</w:t>
      </w:r>
    </w:p>
    <w:p w14:paraId="798BC2ED" w14:textId="722C630C" w:rsidR="003E5930" w:rsidRPr="003E5930" w:rsidRDefault="003E5930" w:rsidP="008F6D4C">
      <w:pPr>
        <w:tabs>
          <w:tab w:val="left" w:pos="1701"/>
          <w:tab w:val="left" w:pos="6536"/>
        </w:tabs>
        <w:spacing w:line="360" w:lineRule="auto"/>
        <w:jc w:val="both"/>
        <w:rPr>
          <w:sz w:val="24"/>
          <w:szCs w:val="24"/>
        </w:rPr>
      </w:pPr>
      <w:r w:rsidRPr="003E5930">
        <w:rPr>
          <w:sz w:val="24"/>
          <w:szCs w:val="24"/>
        </w:rPr>
        <w:t xml:space="preserve">3. Mediante </w:t>
      </w:r>
      <w:r>
        <w:rPr>
          <w:sz w:val="24"/>
          <w:szCs w:val="24"/>
        </w:rPr>
        <w:t>requisição, a Prefeitura de Campo Azul enviará para os interessados, cópia do Estudo Técnico Preliminar, Termo de Referência e Documento de Formalização de Demanda d</w:t>
      </w:r>
      <w:r w:rsidR="009D4A74">
        <w:rPr>
          <w:sz w:val="24"/>
          <w:szCs w:val="24"/>
        </w:rPr>
        <w:t>o procedimento interno</w:t>
      </w:r>
      <w:r>
        <w:rPr>
          <w:sz w:val="24"/>
          <w:szCs w:val="24"/>
        </w:rPr>
        <w:t>,</w:t>
      </w:r>
      <w:r w:rsidR="009D4A74">
        <w:rPr>
          <w:sz w:val="24"/>
          <w:szCs w:val="24"/>
        </w:rPr>
        <w:t xml:space="preserve"> que deverá ser solicitado pelo </w:t>
      </w:r>
      <w:r w:rsidR="00C17C63">
        <w:rPr>
          <w:sz w:val="24"/>
          <w:szCs w:val="24"/>
        </w:rPr>
        <w:t>e-mail:</w:t>
      </w:r>
      <w:r w:rsidR="009D4A74">
        <w:rPr>
          <w:sz w:val="24"/>
          <w:szCs w:val="24"/>
        </w:rPr>
        <w:t xml:space="preserve"> licitacao@campoazul.mg.gov.br.</w:t>
      </w:r>
    </w:p>
    <w:p w14:paraId="38967F80" w14:textId="7DC9E9B7" w:rsidR="00B676B1" w:rsidRDefault="003E5930" w:rsidP="008F6D4C">
      <w:pPr>
        <w:tabs>
          <w:tab w:val="left" w:pos="1701"/>
          <w:tab w:val="left" w:pos="6536"/>
        </w:tabs>
        <w:spacing w:line="360" w:lineRule="auto"/>
        <w:jc w:val="both"/>
        <w:rPr>
          <w:sz w:val="24"/>
          <w:szCs w:val="24"/>
        </w:rPr>
      </w:pPr>
      <w:r w:rsidRPr="003E5930">
        <w:rPr>
          <w:sz w:val="24"/>
          <w:szCs w:val="24"/>
        </w:rPr>
        <w:t xml:space="preserve">3. As dúvidas  </w:t>
      </w:r>
      <w:r>
        <w:rPr>
          <w:sz w:val="24"/>
          <w:szCs w:val="24"/>
        </w:rPr>
        <w:t>decorrentes deste edital poderão ser encaminhadas por escrito para o Setor de Licitações da Prefeitura de Campo Azu</w:t>
      </w:r>
      <w:r w:rsidR="009D4A74">
        <w:rPr>
          <w:sz w:val="24"/>
          <w:szCs w:val="24"/>
        </w:rPr>
        <w:t xml:space="preserve">l através do </w:t>
      </w:r>
      <w:proofErr w:type="spellStart"/>
      <w:r w:rsidR="009D4A74">
        <w:rPr>
          <w:sz w:val="24"/>
          <w:szCs w:val="24"/>
        </w:rPr>
        <w:t>email</w:t>
      </w:r>
      <w:proofErr w:type="spellEnd"/>
      <w:r w:rsidR="009D4A74">
        <w:rPr>
          <w:sz w:val="24"/>
          <w:szCs w:val="24"/>
        </w:rPr>
        <w:t xml:space="preserve"> : </w:t>
      </w:r>
      <w:hyperlink r:id="rId8" w:history="1">
        <w:r w:rsidR="009D4A74" w:rsidRPr="00BE0951">
          <w:rPr>
            <w:rStyle w:val="Hyperlink"/>
            <w:sz w:val="24"/>
            <w:szCs w:val="24"/>
          </w:rPr>
          <w:t>licitacao@campoazul.mg.gov.br</w:t>
        </w:r>
      </w:hyperlink>
      <w:r w:rsidR="009D4A74">
        <w:rPr>
          <w:sz w:val="24"/>
          <w:szCs w:val="24"/>
        </w:rPr>
        <w:t>.</w:t>
      </w:r>
    </w:p>
    <w:p w14:paraId="53403084" w14:textId="46180505" w:rsidR="009D4A74" w:rsidRDefault="009D4A74" w:rsidP="008F6D4C">
      <w:pPr>
        <w:tabs>
          <w:tab w:val="left" w:pos="1701"/>
          <w:tab w:val="left" w:pos="6536"/>
        </w:tabs>
        <w:spacing w:line="360" w:lineRule="auto"/>
        <w:jc w:val="both"/>
        <w:rPr>
          <w:sz w:val="24"/>
          <w:szCs w:val="24"/>
        </w:rPr>
      </w:pPr>
    </w:p>
    <w:p w14:paraId="22856E41" w14:textId="7AD2FE16" w:rsidR="009D4A74" w:rsidRDefault="009D4A74" w:rsidP="009D4A74">
      <w:pPr>
        <w:tabs>
          <w:tab w:val="left" w:pos="1701"/>
          <w:tab w:val="left" w:pos="6536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Alysson Leonardo Guimarães Costa                                                                                    Pregoeiro Oficial</w:t>
      </w:r>
    </w:p>
    <w:p w14:paraId="0B6A8CBA" w14:textId="16E71F77" w:rsidR="009D4A74" w:rsidRPr="003E5930" w:rsidRDefault="009D4A74" w:rsidP="008F6D4C">
      <w:pPr>
        <w:tabs>
          <w:tab w:val="left" w:pos="1701"/>
          <w:tab w:val="left" w:pos="6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Campo Azul, </w:t>
      </w:r>
      <w:r w:rsidRPr="009D4A74">
        <w:rPr>
          <w:color w:val="FF0000"/>
          <w:sz w:val="24"/>
          <w:szCs w:val="24"/>
        </w:rPr>
        <w:t>00</w:t>
      </w:r>
      <w:r>
        <w:rPr>
          <w:sz w:val="24"/>
          <w:szCs w:val="24"/>
        </w:rPr>
        <w:t xml:space="preserve"> de junho de 2025.</w:t>
      </w:r>
    </w:p>
    <w:sectPr w:rsidR="009D4A74" w:rsidRPr="003E5930" w:rsidSect="00553B5E">
      <w:headerReference w:type="default" r:id="rId9"/>
      <w:footerReference w:type="default" r:id="rId10"/>
      <w:pgSz w:w="11906" w:h="16838"/>
      <w:pgMar w:top="2254" w:right="1701" w:bottom="1417" w:left="170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F40CB" w14:textId="77777777" w:rsidR="00116A8A" w:rsidRDefault="00116A8A" w:rsidP="003511DA">
      <w:pPr>
        <w:spacing w:after="0" w:line="240" w:lineRule="auto"/>
      </w:pPr>
      <w:r>
        <w:separator/>
      </w:r>
    </w:p>
  </w:endnote>
  <w:endnote w:type="continuationSeparator" w:id="0">
    <w:p w14:paraId="13CC77C0" w14:textId="77777777" w:rsidR="00116A8A" w:rsidRDefault="00116A8A" w:rsidP="0035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F0485" w14:textId="5C682ED3" w:rsidR="00DE42A7" w:rsidRPr="00553B5E" w:rsidRDefault="00DE42A7" w:rsidP="00553B5E">
    <w:pPr>
      <w:pStyle w:val="Cabealho"/>
      <w:jc w:val="center"/>
      <w:rPr>
        <w:rStyle w:val="apple-converted-space"/>
        <w:rFonts w:ascii="Times New Roman" w:hAnsi="Times New Roman" w:cs="Times New Roman"/>
        <w:color w:val="000000"/>
      </w:rPr>
    </w:pPr>
    <w:r>
      <w:rPr>
        <w:rStyle w:val="apple-converted-space"/>
        <w:rFonts w:ascii="Times New Roman" w:hAnsi="Times New Roman" w:cs="Times New Roman"/>
        <w:color w:val="000000"/>
      </w:rPr>
      <w:t>_____________________________________________________________________________</w:t>
    </w:r>
    <w:r w:rsidRPr="00553B5E">
      <w:rPr>
        <w:rStyle w:val="apple-converted-space"/>
        <w:rFonts w:ascii="Times New Roman" w:hAnsi="Times New Roman" w:cs="Times New Roman"/>
        <w:color w:val="000000"/>
      </w:rPr>
      <w:t>AVENIDA JOÃO ANTÔNIO DE ALMEIDA, 518 – CENTRO</w:t>
    </w:r>
  </w:p>
  <w:p w14:paraId="3EED3D0E" w14:textId="77777777" w:rsidR="00DE42A7" w:rsidRPr="00553B5E" w:rsidRDefault="00DE42A7" w:rsidP="00553B5E">
    <w:pPr>
      <w:pStyle w:val="Cabealho"/>
      <w:tabs>
        <w:tab w:val="left" w:pos="419"/>
      </w:tabs>
      <w:rPr>
        <w:rStyle w:val="apple-converted-space"/>
        <w:rFonts w:ascii="Times New Roman" w:hAnsi="Times New Roman" w:cs="Times New Roman"/>
        <w:color w:val="000000"/>
      </w:rPr>
    </w:pPr>
    <w:r>
      <w:rPr>
        <w:rStyle w:val="apple-converted-space"/>
        <w:rFonts w:ascii="Times New Roman" w:hAnsi="Times New Roman" w:cs="Times New Roman"/>
        <w:color w:val="000000"/>
      </w:rPr>
      <w:tab/>
    </w:r>
    <w:r>
      <w:rPr>
        <w:rStyle w:val="apple-converted-space"/>
        <w:rFonts w:ascii="Times New Roman" w:hAnsi="Times New Roman" w:cs="Times New Roman"/>
        <w:color w:val="000000"/>
      </w:rPr>
      <w:tab/>
    </w:r>
    <w:r w:rsidRPr="00553B5E">
      <w:rPr>
        <w:rStyle w:val="apple-converted-space"/>
        <w:rFonts w:ascii="Times New Roman" w:hAnsi="Times New Roman" w:cs="Times New Roman"/>
        <w:color w:val="000000"/>
      </w:rPr>
      <w:t>CEP.: 39.338-000 – ESTADO DE MINAS GERAIS</w:t>
    </w:r>
  </w:p>
  <w:p w14:paraId="2E4C1AA7" w14:textId="77777777" w:rsidR="00DE42A7" w:rsidRPr="00553B5E" w:rsidRDefault="00116A8A" w:rsidP="00553B5E">
    <w:pPr>
      <w:pStyle w:val="Cabealho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="00DE42A7" w:rsidRPr="00553B5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www.campoazul.mg.gov.br</w:t>
      </w:r>
    </w:hyperlink>
    <w:r w:rsidR="00DE42A7" w:rsidRPr="00553B5E">
      <w:rPr>
        <w:rStyle w:val="apple-converted-space"/>
        <w:rFonts w:ascii="Times New Roman" w:hAnsi="Times New Roman" w:cs="Times New Roman"/>
        <w:color w:val="000000"/>
        <w:sz w:val="24"/>
        <w:szCs w:val="24"/>
      </w:rPr>
      <w:t xml:space="preserve"> </w:t>
    </w:r>
  </w:p>
  <w:p w14:paraId="40721C22" w14:textId="77777777" w:rsidR="00DE42A7" w:rsidRDefault="00DE42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5F053" w14:textId="77777777" w:rsidR="00116A8A" w:rsidRDefault="00116A8A" w:rsidP="003511DA">
      <w:pPr>
        <w:spacing w:after="0" w:line="240" w:lineRule="auto"/>
      </w:pPr>
      <w:r>
        <w:separator/>
      </w:r>
    </w:p>
  </w:footnote>
  <w:footnote w:type="continuationSeparator" w:id="0">
    <w:p w14:paraId="6BD32092" w14:textId="77777777" w:rsidR="00116A8A" w:rsidRDefault="00116A8A" w:rsidP="0035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CC3E8" w14:textId="68290F59" w:rsidR="00DE42A7" w:rsidRDefault="00DE42A7" w:rsidP="00553B5E">
    <w:pPr>
      <w:pStyle w:val="Cabealho"/>
      <w:jc w:val="center"/>
      <w:rPr>
        <w:rStyle w:val="apple-converted-space"/>
        <w:rFonts w:ascii="Times New Roman" w:hAnsi="Times New Roman" w:cs="Times New Roman"/>
        <w:b/>
        <w:color w:val="000000"/>
        <w:sz w:val="24"/>
        <w:szCs w:val="24"/>
      </w:rPr>
    </w:pPr>
    <w:r w:rsidRPr="00553B5E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F61CF5C" wp14:editId="58DDD0E2">
          <wp:simplePos x="0" y="0"/>
          <wp:positionH relativeFrom="margin">
            <wp:align>left</wp:align>
          </wp:positionH>
          <wp:positionV relativeFrom="paragraph">
            <wp:posOffset>-172572</wp:posOffset>
          </wp:positionV>
          <wp:extent cx="893135" cy="897700"/>
          <wp:effectExtent l="0" t="0" r="2540" b="0"/>
          <wp:wrapNone/>
          <wp:docPr id="279199391" name="Imagem 2" descr="brasao-de-campo-azul-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-de-campo-azul-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135" cy="89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BBA48" w14:textId="77777777" w:rsidR="00DE42A7" w:rsidRDefault="00DE42A7" w:rsidP="00553B5E">
    <w:pPr>
      <w:pStyle w:val="Cabealho"/>
      <w:jc w:val="center"/>
      <w:rPr>
        <w:rStyle w:val="apple-converted-space"/>
        <w:rFonts w:ascii="Times New Roman" w:hAnsi="Times New Roman" w:cs="Times New Roman"/>
        <w:b/>
        <w:color w:val="000000"/>
        <w:sz w:val="24"/>
        <w:szCs w:val="24"/>
      </w:rPr>
    </w:pPr>
  </w:p>
  <w:p w14:paraId="43961914" w14:textId="548BE1EB" w:rsidR="00DE42A7" w:rsidRDefault="00DE42A7" w:rsidP="00553B5E">
    <w:pPr>
      <w:pStyle w:val="Cabealho"/>
      <w:jc w:val="center"/>
      <w:rPr>
        <w:rStyle w:val="apple-converted-space"/>
        <w:rFonts w:ascii="Times New Roman" w:hAnsi="Times New Roman" w:cs="Times New Roman"/>
        <w:b/>
        <w:color w:val="000000"/>
        <w:sz w:val="28"/>
        <w:szCs w:val="28"/>
      </w:rPr>
    </w:pPr>
    <w:r>
      <w:rPr>
        <w:rStyle w:val="apple-converted-space"/>
        <w:rFonts w:ascii="Times New Roman" w:hAnsi="Times New Roman" w:cs="Times New Roman"/>
        <w:b/>
        <w:color w:val="000000"/>
        <w:sz w:val="28"/>
        <w:szCs w:val="28"/>
      </w:rPr>
      <w:t xml:space="preserve">           </w:t>
    </w:r>
    <w:r w:rsidRPr="00553B5E">
      <w:rPr>
        <w:rStyle w:val="apple-converted-space"/>
        <w:rFonts w:ascii="Times New Roman" w:hAnsi="Times New Roman" w:cs="Times New Roman"/>
        <w:b/>
        <w:color w:val="000000"/>
        <w:sz w:val="28"/>
        <w:szCs w:val="28"/>
      </w:rPr>
      <w:t>PREFEITURA MUNICIPAL DE CAMPO AZUL -MG</w:t>
    </w:r>
  </w:p>
  <w:p w14:paraId="60746156" w14:textId="77777777" w:rsidR="00DE42A7" w:rsidRPr="00553B5E" w:rsidRDefault="00DE42A7" w:rsidP="00553B5E">
    <w:pPr>
      <w:pStyle w:val="Cabealho"/>
      <w:jc w:val="center"/>
      <w:rPr>
        <w:rStyle w:val="apple-converted-space"/>
        <w:rFonts w:ascii="Times New Roman" w:hAnsi="Times New Roman" w:cs="Times New Roman"/>
        <w:b/>
        <w:color w:val="000000"/>
        <w:sz w:val="28"/>
        <w:szCs w:val="28"/>
      </w:rPr>
    </w:pPr>
  </w:p>
  <w:p w14:paraId="08DBFD15" w14:textId="64514EE2" w:rsidR="00DE42A7" w:rsidRDefault="00DE42A7" w:rsidP="00553B5E">
    <w:pPr>
      <w:pStyle w:val="Cabealho"/>
    </w:pP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7C3"/>
    <w:multiLevelType w:val="multilevel"/>
    <w:tmpl w:val="E5324444"/>
    <w:lvl w:ilvl="0">
      <w:start w:val="2"/>
      <w:numFmt w:val="decimal"/>
      <w:lvlText w:val="%1"/>
      <w:lvlJc w:val="left"/>
      <w:pPr>
        <w:ind w:left="600" w:hanging="348"/>
      </w:pPr>
      <w:rPr>
        <w:rFonts w:hint="default"/>
        <w:lang w:val="pt-BR" w:eastAsia="pt-BR" w:bidi="pt-BR"/>
      </w:rPr>
    </w:lvl>
    <w:lvl w:ilvl="1">
      <w:numFmt w:val="decimal"/>
      <w:lvlText w:val="%1.%2"/>
      <w:lvlJc w:val="left"/>
      <w:pPr>
        <w:ind w:left="252" w:hanging="348"/>
      </w:pPr>
      <w:rPr>
        <w:rFonts w:hint="default"/>
        <w:b/>
        <w:bCs/>
        <w:w w:val="95"/>
        <w:lang w:val="pt-BR" w:eastAsia="pt-BR" w:bidi="pt-BR"/>
      </w:rPr>
    </w:lvl>
    <w:lvl w:ilvl="2">
      <w:numFmt w:val="bullet"/>
      <w:lvlText w:val="•"/>
      <w:lvlJc w:val="left"/>
      <w:pPr>
        <w:ind w:left="1716" w:hanging="34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48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65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81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97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13" w:hanging="348"/>
      </w:pPr>
      <w:rPr>
        <w:rFonts w:hint="default"/>
        <w:lang w:val="pt-BR" w:eastAsia="pt-BR" w:bidi="pt-BR"/>
      </w:rPr>
    </w:lvl>
  </w:abstractNum>
  <w:abstractNum w:abstractNumId="1">
    <w:nsid w:val="02D00796"/>
    <w:multiLevelType w:val="multilevel"/>
    <w:tmpl w:val="4EC2D0B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3F309F"/>
    <w:multiLevelType w:val="multilevel"/>
    <w:tmpl w:val="F1FA9B9E"/>
    <w:lvl w:ilvl="0">
      <w:start w:val="20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4141E02"/>
    <w:multiLevelType w:val="multilevel"/>
    <w:tmpl w:val="DC60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25418"/>
    <w:multiLevelType w:val="multilevel"/>
    <w:tmpl w:val="C21E8EC2"/>
    <w:lvl w:ilvl="0">
      <w:start w:val="20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AD4E13"/>
    <w:multiLevelType w:val="hybridMultilevel"/>
    <w:tmpl w:val="C00C09C8"/>
    <w:lvl w:ilvl="0" w:tplc="9B709500">
      <w:start w:val="13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2A583216"/>
    <w:multiLevelType w:val="multilevel"/>
    <w:tmpl w:val="9404E702"/>
    <w:lvl w:ilvl="0">
      <w:start w:val="4"/>
      <w:numFmt w:val="decimal"/>
      <w:lvlText w:val="%1."/>
      <w:lvlJc w:val="left"/>
      <w:pPr>
        <w:ind w:left="346" w:hanging="236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49" w:hanging="33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1" w:hanging="52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500" w:hanging="5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1949" w:hanging="5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98" w:hanging="5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848" w:hanging="5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97" w:hanging="5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47" w:hanging="529"/>
      </w:pPr>
      <w:rPr>
        <w:rFonts w:hint="default"/>
        <w:lang w:val="pt-BR" w:eastAsia="pt-BR" w:bidi="pt-BR"/>
      </w:rPr>
    </w:lvl>
  </w:abstractNum>
  <w:abstractNum w:abstractNumId="7">
    <w:nsid w:val="31596118"/>
    <w:multiLevelType w:val="hybridMultilevel"/>
    <w:tmpl w:val="9FB2E3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884097"/>
    <w:multiLevelType w:val="multilevel"/>
    <w:tmpl w:val="4AD09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643FCC"/>
    <w:multiLevelType w:val="multilevel"/>
    <w:tmpl w:val="6480133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443D211A"/>
    <w:multiLevelType w:val="multilevel"/>
    <w:tmpl w:val="833E5E40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</w:rPr>
    </w:lvl>
  </w:abstractNum>
  <w:abstractNum w:abstractNumId="11">
    <w:nsid w:val="443E4FB0"/>
    <w:multiLevelType w:val="multilevel"/>
    <w:tmpl w:val="98BC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61873"/>
    <w:multiLevelType w:val="multilevel"/>
    <w:tmpl w:val="41BC24C4"/>
    <w:lvl w:ilvl="0">
      <w:start w:val="20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EE459E"/>
    <w:multiLevelType w:val="hybridMultilevel"/>
    <w:tmpl w:val="F5404A44"/>
    <w:lvl w:ilvl="0" w:tplc="09A2D6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05948"/>
    <w:multiLevelType w:val="multilevel"/>
    <w:tmpl w:val="B5CAA47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6DF4B9C"/>
    <w:multiLevelType w:val="multilevel"/>
    <w:tmpl w:val="C60C6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8A964E3"/>
    <w:multiLevelType w:val="multilevel"/>
    <w:tmpl w:val="3174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D6402"/>
    <w:multiLevelType w:val="multilevel"/>
    <w:tmpl w:val="BFD8756E"/>
    <w:lvl w:ilvl="0">
      <w:start w:val="4"/>
      <w:numFmt w:val="decimal"/>
      <w:lvlText w:val="%1"/>
      <w:lvlJc w:val="left"/>
      <w:pPr>
        <w:ind w:left="111" w:hanging="425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111" w:hanging="425"/>
      </w:pPr>
      <w:rPr>
        <w:rFonts w:ascii="Times New Roman" w:eastAsia="Times New Roman" w:hAnsi="Times New Roman" w:cs="Times New Roman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225" w:hanging="42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77" w:hanging="42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2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83" w:hanging="42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35" w:hanging="42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88" w:hanging="42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41" w:hanging="425"/>
      </w:pPr>
      <w:rPr>
        <w:rFonts w:hint="default"/>
        <w:lang w:val="pt-BR" w:eastAsia="pt-BR" w:bidi="pt-BR"/>
      </w:rPr>
    </w:lvl>
  </w:abstractNum>
  <w:abstractNum w:abstractNumId="18">
    <w:nsid w:val="72DC3D4F"/>
    <w:multiLevelType w:val="multilevel"/>
    <w:tmpl w:val="8CB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17"/>
  </w:num>
  <w:num w:numId="13">
    <w:abstractNumId w:val="6"/>
  </w:num>
  <w:num w:numId="14">
    <w:abstractNumId w:val="0"/>
  </w:num>
  <w:num w:numId="15">
    <w:abstractNumId w:val="15"/>
  </w:num>
  <w:num w:numId="16">
    <w:abstractNumId w:val="1"/>
  </w:num>
  <w:num w:numId="17">
    <w:abstractNumId w:val="1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5B"/>
    <w:rsid w:val="0004084B"/>
    <w:rsid w:val="00092859"/>
    <w:rsid w:val="000A25DC"/>
    <w:rsid w:val="000B4B98"/>
    <w:rsid w:val="00116A8A"/>
    <w:rsid w:val="00132FA2"/>
    <w:rsid w:val="00143577"/>
    <w:rsid w:val="0017094B"/>
    <w:rsid w:val="001A4BEB"/>
    <w:rsid w:val="001A519D"/>
    <w:rsid w:val="001C77A8"/>
    <w:rsid w:val="001D4B47"/>
    <w:rsid w:val="001D5C14"/>
    <w:rsid w:val="001F11DF"/>
    <w:rsid w:val="002443C0"/>
    <w:rsid w:val="00247654"/>
    <w:rsid w:val="00256C1A"/>
    <w:rsid w:val="002B07C8"/>
    <w:rsid w:val="002D0DAC"/>
    <w:rsid w:val="002D7C96"/>
    <w:rsid w:val="002F07D2"/>
    <w:rsid w:val="002F17E3"/>
    <w:rsid w:val="002F7E0D"/>
    <w:rsid w:val="003511DA"/>
    <w:rsid w:val="00374583"/>
    <w:rsid w:val="003921B4"/>
    <w:rsid w:val="003A7F96"/>
    <w:rsid w:val="003C02DD"/>
    <w:rsid w:val="003E5930"/>
    <w:rsid w:val="003F6F54"/>
    <w:rsid w:val="0040569C"/>
    <w:rsid w:val="00406C4C"/>
    <w:rsid w:val="00410871"/>
    <w:rsid w:val="004538AB"/>
    <w:rsid w:val="004C33B5"/>
    <w:rsid w:val="004F0011"/>
    <w:rsid w:val="00510134"/>
    <w:rsid w:val="005153A8"/>
    <w:rsid w:val="0052746D"/>
    <w:rsid w:val="00527541"/>
    <w:rsid w:val="00535F40"/>
    <w:rsid w:val="00553B5E"/>
    <w:rsid w:val="005755D6"/>
    <w:rsid w:val="0058530F"/>
    <w:rsid w:val="005964C7"/>
    <w:rsid w:val="005B3E55"/>
    <w:rsid w:val="005D0983"/>
    <w:rsid w:val="00614B5B"/>
    <w:rsid w:val="006239BB"/>
    <w:rsid w:val="00625379"/>
    <w:rsid w:val="00632490"/>
    <w:rsid w:val="006362D4"/>
    <w:rsid w:val="0066454E"/>
    <w:rsid w:val="006703C6"/>
    <w:rsid w:val="006964D2"/>
    <w:rsid w:val="006A4B4E"/>
    <w:rsid w:val="006B0280"/>
    <w:rsid w:val="006B4916"/>
    <w:rsid w:val="006E3F32"/>
    <w:rsid w:val="006E57D4"/>
    <w:rsid w:val="00711F75"/>
    <w:rsid w:val="00712F22"/>
    <w:rsid w:val="00745BCC"/>
    <w:rsid w:val="00747C33"/>
    <w:rsid w:val="00766C21"/>
    <w:rsid w:val="007762AD"/>
    <w:rsid w:val="00792F65"/>
    <w:rsid w:val="007A0E7F"/>
    <w:rsid w:val="007A6BDA"/>
    <w:rsid w:val="00831A40"/>
    <w:rsid w:val="0085467B"/>
    <w:rsid w:val="008830D3"/>
    <w:rsid w:val="008877B6"/>
    <w:rsid w:val="00897307"/>
    <w:rsid w:val="008A5BDD"/>
    <w:rsid w:val="008B607D"/>
    <w:rsid w:val="008C763B"/>
    <w:rsid w:val="008F6D4C"/>
    <w:rsid w:val="00917B43"/>
    <w:rsid w:val="009205E8"/>
    <w:rsid w:val="00935299"/>
    <w:rsid w:val="00961A4A"/>
    <w:rsid w:val="00972936"/>
    <w:rsid w:val="009845BF"/>
    <w:rsid w:val="009C09C2"/>
    <w:rsid w:val="009C6D04"/>
    <w:rsid w:val="009D4A74"/>
    <w:rsid w:val="009D4BB4"/>
    <w:rsid w:val="009E486E"/>
    <w:rsid w:val="009E54F4"/>
    <w:rsid w:val="00A03A43"/>
    <w:rsid w:val="00A30A60"/>
    <w:rsid w:val="00A544AE"/>
    <w:rsid w:val="00A651F4"/>
    <w:rsid w:val="00A725C8"/>
    <w:rsid w:val="00A84983"/>
    <w:rsid w:val="00A87F69"/>
    <w:rsid w:val="00AB4615"/>
    <w:rsid w:val="00AC0A7F"/>
    <w:rsid w:val="00AC411C"/>
    <w:rsid w:val="00AD5469"/>
    <w:rsid w:val="00AE3ABF"/>
    <w:rsid w:val="00B07031"/>
    <w:rsid w:val="00B1034B"/>
    <w:rsid w:val="00B305F9"/>
    <w:rsid w:val="00B622F2"/>
    <w:rsid w:val="00B623F0"/>
    <w:rsid w:val="00B676B1"/>
    <w:rsid w:val="00B740C5"/>
    <w:rsid w:val="00B767A1"/>
    <w:rsid w:val="00B92CA6"/>
    <w:rsid w:val="00B963F6"/>
    <w:rsid w:val="00BB1955"/>
    <w:rsid w:val="00BD543A"/>
    <w:rsid w:val="00BD6C71"/>
    <w:rsid w:val="00BD77D5"/>
    <w:rsid w:val="00C11667"/>
    <w:rsid w:val="00C17C63"/>
    <w:rsid w:val="00C30723"/>
    <w:rsid w:val="00C4082B"/>
    <w:rsid w:val="00C45F5E"/>
    <w:rsid w:val="00C46876"/>
    <w:rsid w:val="00CE2452"/>
    <w:rsid w:val="00CF5993"/>
    <w:rsid w:val="00D01C71"/>
    <w:rsid w:val="00D15738"/>
    <w:rsid w:val="00D178C4"/>
    <w:rsid w:val="00D242C5"/>
    <w:rsid w:val="00D314FA"/>
    <w:rsid w:val="00D4799E"/>
    <w:rsid w:val="00D56FEA"/>
    <w:rsid w:val="00D67F80"/>
    <w:rsid w:val="00D775C8"/>
    <w:rsid w:val="00D8344B"/>
    <w:rsid w:val="00D941FD"/>
    <w:rsid w:val="00D96E6E"/>
    <w:rsid w:val="00DB4777"/>
    <w:rsid w:val="00DE085B"/>
    <w:rsid w:val="00DE42A7"/>
    <w:rsid w:val="00E03F62"/>
    <w:rsid w:val="00E04CD9"/>
    <w:rsid w:val="00E43C20"/>
    <w:rsid w:val="00E63C2A"/>
    <w:rsid w:val="00E75D3A"/>
    <w:rsid w:val="00E901AF"/>
    <w:rsid w:val="00E94153"/>
    <w:rsid w:val="00EB134A"/>
    <w:rsid w:val="00EC054C"/>
    <w:rsid w:val="00ED295F"/>
    <w:rsid w:val="00F16ACC"/>
    <w:rsid w:val="00F36F43"/>
    <w:rsid w:val="00F44C3D"/>
    <w:rsid w:val="00F53994"/>
    <w:rsid w:val="00F54C8B"/>
    <w:rsid w:val="00F67357"/>
    <w:rsid w:val="00F7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B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4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14B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B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B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B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B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B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B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B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B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B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B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B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B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B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B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614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rsid w:val="0061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B5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14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B5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14B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14B5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14B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B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B5B"/>
    <w:rPr>
      <w:b/>
      <w:bCs/>
      <w:smallCaps/>
      <w:color w:val="0F4761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sid w:val="00614B5B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B1034B"/>
  </w:style>
  <w:style w:type="paragraph" w:styleId="Cabealho">
    <w:name w:val="header"/>
    <w:basedOn w:val="Normal"/>
    <w:link w:val="CabealhoChar"/>
    <w:uiPriority w:val="99"/>
    <w:unhideWhenUsed/>
    <w:rsid w:val="0035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1DA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5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1DA"/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3511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F59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F5993"/>
    <w:rPr>
      <w:rFonts w:ascii="Arial MT" w:eastAsia="Arial MT" w:hAnsi="Arial MT" w:cs="Arial MT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F36F4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C41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C411C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3C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5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4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14B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B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B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B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B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B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B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B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B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B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B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B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B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B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B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614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rsid w:val="0061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B5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14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B5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14B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14B5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14B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B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B5B"/>
    <w:rPr>
      <w:b/>
      <w:bCs/>
      <w:smallCaps/>
      <w:color w:val="0F4761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sid w:val="00614B5B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B1034B"/>
  </w:style>
  <w:style w:type="paragraph" w:styleId="Cabealho">
    <w:name w:val="header"/>
    <w:basedOn w:val="Normal"/>
    <w:link w:val="CabealhoChar"/>
    <w:uiPriority w:val="99"/>
    <w:unhideWhenUsed/>
    <w:rsid w:val="0035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1DA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5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1DA"/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3511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F59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F5993"/>
    <w:rPr>
      <w:rFonts w:ascii="Arial MT" w:eastAsia="Arial MT" w:hAnsi="Arial MT" w:cs="Arial MT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F36F4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C41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C411C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3C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5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ampoazul.mg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poazul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Maralisy Mendes Cardoso</dc:creator>
  <cp:keywords/>
  <dc:description/>
  <cp:lastModifiedBy>licitacao campo azul</cp:lastModifiedBy>
  <cp:revision>6</cp:revision>
  <dcterms:created xsi:type="dcterms:W3CDTF">2025-06-04T11:52:00Z</dcterms:created>
  <dcterms:modified xsi:type="dcterms:W3CDTF">2025-06-06T14:51:00Z</dcterms:modified>
</cp:coreProperties>
</file>